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743F" w14:textId="77777777" w:rsidR="00DE48C3" w:rsidRPr="00DE48C3" w:rsidRDefault="00DE48C3" w:rsidP="00DE48C3">
      <w:pPr>
        <w:numPr>
          <w:ilvl w:val="0"/>
          <w:numId w:val="1"/>
        </w:numPr>
      </w:pPr>
      <w:r w:rsidRPr="00DE48C3">
        <w:fldChar w:fldCharType="begin"/>
      </w:r>
      <w:r w:rsidRPr="00DE48C3">
        <w:instrText>HYPERLINK "https://dailymed.nlm.nih.gov/dailymed/drugInfo.cfm?setid=14d98490-4f8f-4d2f-a4e9-7a3d7a0199ba&amp;audience=consumer"</w:instrText>
      </w:r>
      <w:r w:rsidRPr="00DE48C3">
        <w:fldChar w:fldCharType="separate"/>
      </w:r>
      <w:r w:rsidRPr="00DE48C3">
        <w:rPr>
          <w:rStyle w:val="Hyperlink"/>
        </w:rPr>
        <w:t>2 DOSAGE AND ADMINISTRATION</w:t>
      </w:r>
      <w:r w:rsidRPr="00DE48C3">
        <w:fldChar w:fldCharType="end"/>
      </w:r>
    </w:p>
    <w:p w14:paraId="21585720" w14:textId="77777777" w:rsidR="00DE48C3" w:rsidRPr="00DE48C3" w:rsidRDefault="00DE48C3" w:rsidP="00DE48C3">
      <w:bookmarkStart w:id="0" w:name="S2"/>
      <w:bookmarkStart w:id="1" w:name="section-2"/>
      <w:bookmarkStart w:id="2" w:name="S2.1"/>
      <w:bookmarkStart w:id="3" w:name="section-2.1"/>
      <w:bookmarkEnd w:id="0"/>
      <w:bookmarkEnd w:id="1"/>
      <w:bookmarkEnd w:id="2"/>
      <w:bookmarkEnd w:id="3"/>
      <w:r w:rsidRPr="00DE48C3">
        <w:t>2.1 Recommended Dosage</w:t>
      </w:r>
    </w:p>
    <w:p w14:paraId="55132FFB" w14:textId="77777777" w:rsidR="00DE48C3" w:rsidRPr="00DE48C3" w:rsidRDefault="00DE48C3" w:rsidP="00DE48C3">
      <w:pPr>
        <w:numPr>
          <w:ilvl w:val="1"/>
          <w:numId w:val="1"/>
        </w:numPr>
      </w:pPr>
      <w:r w:rsidRPr="00DE48C3">
        <w:t>Individualize the starting dosage of alogliptin and metformin HCl tablets based on the patient’s current regimen.</w:t>
      </w:r>
    </w:p>
    <w:p w14:paraId="5C24835A" w14:textId="77777777" w:rsidR="00DE48C3" w:rsidRPr="00DE48C3" w:rsidRDefault="00DE48C3" w:rsidP="00DE48C3">
      <w:pPr>
        <w:numPr>
          <w:ilvl w:val="1"/>
          <w:numId w:val="1"/>
        </w:numPr>
      </w:pPr>
      <w:r w:rsidRPr="00DE48C3">
        <w:t>Alogliptin and metformin HCl tablets should be taken orally twice daily with food with gradual dose escalation to reduce the gastrointestinal (GI) side effects due to metformin. Do not split tablets.</w:t>
      </w:r>
    </w:p>
    <w:p w14:paraId="7FD0055C" w14:textId="77777777" w:rsidR="00DE48C3" w:rsidRPr="00DE48C3" w:rsidRDefault="00DE48C3" w:rsidP="00DE48C3">
      <w:pPr>
        <w:numPr>
          <w:ilvl w:val="1"/>
          <w:numId w:val="1"/>
        </w:numPr>
      </w:pPr>
      <w:r w:rsidRPr="00DE48C3">
        <w:t>Adjust the dosage based on effectiveness and tolerability while not exceeding the maximum recommended daily dose of 25 mg alogliptin and 2000 mg metformin hydrochloride (HCl).</w:t>
      </w:r>
    </w:p>
    <w:p w14:paraId="6A6A8950" w14:textId="77777777" w:rsidR="00DE48C3" w:rsidRPr="00DE48C3" w:rsidRDefault="00DE48C3" w:rsidP="00DE48C3">
      <w:bookmarkStart w:id="4" w:name="S2.2"/>
      <w:bookmarkStart w:id="5" w:name="section-2.2"/>
      <w:bookmarkEnd w:id="4"/>
      <w:bookmarkEnd w:id="5"/>
      <w:r w:rsidRPr="00DE48C3">
        <w:t>2.2 Recommendations for Use in Renal Impairment</w:t>
      </w:r>
    </w:p>
    <w:p w14:paraId="1422BBAD" w14:textId="77777777" w:rsidR="00DE48C3" w:rsidRPr="00DE48C3" w:rsidRDefault="00DE48C3" w:rsidP="00DE48C3">
      <w:pPr>
        <w:numPr>
          <w:ilvl w:val="1"/>
          <w:numId w:val="1"/>
        </w:numPr>
      </w:pPr>
      <w:r w:rsidRPr="00DE48C3">
        <w:t>Assess renal function prior to initiation of alogliptin and metformin HCl tablets and periodically thereafter.</w:t>
      </w:r>
    </w:p>
    <w:p w14:paraId="138687C2" w14:textId="77777777" w:rsidR="00DE48C3" w:rsidRPr="00DE48C3" w:rsidRDefault="00DE48C3" w:rsidP="00DE48C3">
      <w:pPr>
        <w:numPr>
          <w:ilvl w:val="1"/>
          <w:numId w:val="1"/>
        </w:numPr>
      </w:pPr>
      <w:r w:rsidRPr="00DE48C3">
        <w:t>Alogliptin and metformin HCl tablets are contraindicated in patients with an estimated glomerular filtration rate (eGFR) below 30 mL/min/1.73 m</w:t>
      </w:r>
      <w:r w:rsidRPr="00DE48C3">
        <w:rPr>
          <w:vertAlign w:val="superscript"/>
        </w:rPr>
        <w:t>2</w:t>
      </w:r>
      <w:r w:rsidRPr="00DE48C3">
        <w:rPr>
          <w:i/>
          <w:iCs/>
        </w:rPr>
        <w:t> [see</w:t>
      </w:r>
      <w:hyperlink r:id="rId5" w:anchor="S4" w:history="1">
        <w:r w:rsidRPr="00DE48C3">
          <w:rPr>
            <w:rStyle w:val="Hyperlink"/>
            <w:i/>
            <w:iCs/>
          </w:rPr>
          <w:t> Contraindications (4)</w:t>
        </w:r>
      </w:hyperlink>
      <w:r w:rsidRPr="00DE48C3">
        <w:rPr>
          <w:i/>
          <w:iCs/>
        </w:rPr>
        <w:t>, </w:t>
      </w:r>
      <w:hyperlink r:id="rId6" w:anchor="S5.1" w:history="1">
        <w:r w:rsidRPr="00DE48C3">
          <w:rPr>
            <w:rStyle w:val="Hyperlink"/>
            <w:i/>
            <w:iCs/>
          </w:rPr>
          <w:t>Warnings and Precautions (5.1)</w:t>
        </w:r>
      </w:hyperlink>
      <w:r w:rsidRPr="00DE48C3">
        <w:rPr>
          <w:i/>
          <w:iCs/>
        </w:rPr>
        <w:t>]</w:t>
      </w:r>
      <w:r w:rsidRPr="00DE48C3">
        <w:t>.</w:t>
      </w:r>
    </w:p>
    <w:p w14:paraId="2B12E1E3" w14:textId="77777777" w:rsidR="00DE48C3" w:rsidRPr="00DE48C3" w:rsidRDefault="00DE48C3" w:rsidP="00DE48C3">
      <w:pPr>
        <w:numPr>
          <w:ilvl w:val="1"/>
          <w:numId w:val="1"/>
        </w:numPr>
      </w:pPr>
      <w:r w:rsidRPr="00DE48C3">
        <w:t>Alogliptin and metformin HCl tablets are not recommended in patients with an eGFR between 30 and 59 mL/min/1.73 m</w:t>
      </w:r>
      <w:r w:rsidRPr="00DE48C3">
        <w:rPr>
          <w:vertAlign w:val="superscript"/>
        </w:rPr>
        <w:t>2 </w:t>
      </w:r>
      <w:r w:rsidRPr="00DE48C3">
        <w:t>because these patients require a lower daily dosage of alogliptin than what is available in the fixed combination alogliptin and metformin HCl tablets product.</w:t>
      </w:r>
    </w:p>
    <w:p w14:paraId="0E709517" w14:textId="77777777" w:rsidR="00DE48C3" w:rsidRPr="00DE48C3" w:rsidRDefault="00DE48C3" w:rsidP="00DE48C3">
      <w:pPr>
        <w:numPr>
          <w:ilvl w:val="1"/>
          <w:numId w:val="1"/>
        </w:numPr>
      </w:pPr>
      <w:r w:rsidRPr="00DE48C3">
        <w:t>Alogliptin and metformin HCl tablets require no dose adjustment in patients with an eGFR of 60 mL/min/1.73 m</w:t>
      </w:r>
      <w:r w:rsidRPr="00DE48C3">
        <w:rPr>
          <w:vertAlign w:val="superscript"/>
        </w:rPr>
        <w:t>2</w:t>
      </w:r>
      <w:r w:rsidRPr="00DE48C3">
        <w:t> or greater.</w:t>
      </w:r>
    </w:p>
    <w:p w14:paraId="10143BBF" w14:textId="77777777" w:rsidR="00DE48C3" w:rsidRPr="00DE48C3" w:rsidRDefault="00DE48C3" w:rsidP="00DE48C3">
      <w:bookmarkStart w:id="6" w:name="S2.3"/>
      <w:bookmarkStart w:id="7" w:name="section-2.3"/>
      <w:bookmarkEnd w:id="6"/>
      <w:bookmarkEnd w:id="7"/>
      <w:r w:rsidRPr="00DE48C3">
        <w:t>2.3 Discontinuation for Iodinated Contrast Imaging Procedures</w:t>
      </w:r>
    </w:p>
    <w:p w14:paraId="7344BE30" w14:textId="77777777" w:rsidR="00DE48C3" w:rsidRPr="00DE48C3" w:rsidRDefault="00DE48C3" w:rsidP="00DE48C3">
      <w:r w:rsidRPr="00DE48C3">
        <w:t>Discontinue alogliptin and metformin HCl tablets at the time of, or prior to, an iodinated contrast imaging procedure in patients with an eGFR between 30 and 60 mL/min/1.73 m</w:t>
      </w:r>
      <w:r w:rsidRPr="00DE48C3">
        <w:rPr>
          <w:vertAlign w:val="superscript"/>
        </w:rPr>
        <w:t>2</w:t>
      </w:r>
      <w:r w:rsidRPr="00DE48C3">
        <w:t>; in patients with a history of liver disease, alcoholism or heart failure; or in patients who will be administered intra-arterial iodinated contrast. Re-evaluate eGFR 48 hours after the imaging procedure; restart alogliptin and metformin HCl tablets if renal function is stable</w:t>
      </w:r>
      <w:r w:rsidRPr="00DE48C3">
        <w:rPr>
          <w:i/>
          <w:iCs/>
        </w:rPr>
        <w:t> [see</w:t>
      </w:r>
      <w:hyperlink r:id="rId7" w:anchor="S5.1" w:history="1">
        <w:r w:rsidRPr="00DE48C3">
          <w:rPr>
            <w:rStyle w:val="Hyperlink"/>
            <w:i/>
            <w:iCs/>
          </w:rPr>
          <w:t> Warnings and Precautions (5.1)</w:t>
        </w:r>
      </w:hyperlink>
      <w:r w:rsidRPr="00DE48C3">
        <w:rPr>
          <w:i/>
          <w:iCs/>
        </w:rPr>
        <w:t>]</w:t>
      </w:r>
      <w:r w:rsidRPr="00DE48C3">
        <w:t>.</w:t>
      </w:r>
    </w:p>
    <w:p w14:paraId="2F41334C" w14:textId="77777777" w:rsidR="00DE48C3" w:rsidRPr="00DE48C3" w:rsidRDefault="00DE48C3" w:rsidP="00DE48C3">
      <w:hyperlink r:id="rId8" w:anchor="#" w:history="1">
        <w:r w:rsidRPr="00DE48C3">
          <w:rPr>
            <w:rStyle w:val="Hyperlink"/>
          </w:rPr>
          <w:t>Close</w:t>
        </w:r>
      </w:hyperlink>
    </w:p>
    <w:p w14:paraId="7359A7D3" w14:textId="77777777" w:rsidR="00DE48C3" w:rsidRPr="00DE48C3" w:rsidRDefault="00DE48C3" w:rsidP="00DE48C3">
      <w:pPr>
        <w:numPr>
          <w:ilvl w:val="0"/>
          <w:numId w:val="1"/>
        </w:numPr>
      </w:pPr>
      <w:hyperlink r:id="rId9" w:history="1">
        <w:r w:rsidRPr="00DE48C3">
          <w:rPr>
            <w:rStyle w:val="Hyperlink"/>
          </w:rPr>
          <w:t>3 DOSAGE FORMS AND STRENGTHS</w:t>
        </w:r>
      </w:hyperlink>
    </w:p>
    <w:p w14:paraId="518832DA" w14:textId="77777777" w:rsidR="00DE48C3" w:rsidRPr="00DE48C3" w:rsidRDefault="00DE48C3" w:rsidP="00DE48C3">
      <w:pPr>
        <w:numPr>
          <w:ilvl w:val="1"/>
          <w:numId w:val="1"/>
        </w:numPr>
      </w:pPr>
      <w:bookmarkStart w:id="8" w:name="S3"/>
      <w:bookmarkStart w:id="9" w:name="section-3"/>
      <w:bookmarkEnd w:id="8"/>
      <w:bookmarkEnd w:id="9"/>
      <w:r w:rsidRPr="00DE48C3">
        <w:lastRenderedPageBreak/>
        <w:t xml:space="preserve">12.5 mg/500 mg tablets are pale yellow, oblong, film-coated tablets with "12.5/500" </w:t>
      </w:r>
      <w:proofErr w:type="gramStart"/>
      <w:r w:rsidRPr="00DE48C3">
        <w:t>debossed</w:t>
      </w:r>
      <w:proofErr w:type="gramEnd"/>
      <w:r w:rsidRPr="00DE48C3">
        <w:t xml:space="preserve"> on one side and "322M" debossed on the other side</w:t>
      </w:r>
    </w:p>
    <w:p w14:paraId="7113AFEE" w14:textId="77777777" w:rsidR="00DE48C3" w:rsidRPr="00DE48C3" w:rsidRDefault="00DE48C3" w:rsidP="00DE48C3">
      <w:pPr>
        <w:numPr>
          <w:ilvl w:val="1"/>
          <w:numId w:val="1"/>
        </w:numPr>
      </w:pPr>
      <w:r w:rsidRPr="00DE48C3">
        <w:t>12.5 mg/1000 mg tablets are pale yellow, oblong, film-coated tablets with "12.5/1000" debossed on one side and "322M" debossed on the other side</w:t>
      </w:r>
    </w:p>
    <w:p w14:paraId="1B513C64" w14:textId="77777777" w:rsidR="00DE48C3" w:rsidRPr="00DE48C3" w:rsidRDefault="00DE48C3" w:rsidP="00DE48C3">
      <w:hyperlink r:id="rId10" w:anchor="#" w:history="1">
        <w:r w:rsidRPr="00DE48C3">
          <w:rPr>
            <w:rStyle w:val="Hyperlink"/>
          </w:rPr>
          <w:t>Close</w:t>
        </w:r>
      </w:hyperlink>
    </w:p>
    <w:p w14:paraId="168696C8" w14:textId="77777777" w:rsidR="00DE48C3" w:rsidRPr="00DE48C3" w:rsidRDefault="00DE48C3" w:rsidP="00DE48C3">
      <w:pPr>
        <w:numPr>
          <w:ilvl w:val="0"/>
          <w:numId w:val="1"/>
        </w:numPr>
      </w:pPr>
      <w:hyperlink r:id="rId11" w:history="1">
        <w:r w:rsidRPr="00DE48C3">
          <w:rPr>
            <w:rStyle w:val="Hyperlink"/>
          </w:rPr>
          <w:t>4 CONTRAINDICATIONS</w:t>
        </w:r>
      </w:hyperlink>
      <w:hyperlink r:id="rId12" w:tooltip="A contraindication is a specific situation in which a drug, procedure, or surgery should not be used because it may be harmful to the patient." w:history="1">
        <w:r w:rsidRPr="00DE48C3">
          <w:rPr>
            <w:rStyle w:val="Hyperlink"/>
          </w:rPr>
          <w:t>(What is this?)</w:t>
        </w:r>
      </w:hyperlink>
    </w:p>
    <w:p w14:paraId="445330F3" w14:textId="77777777" w:rsidR="00DE48C3" w:rsidRPr="00DE48C3" w:rsidRDefault="00DE48C3" w:rsidP="00DE48C3">
      <w:bookmarkStart w:id="10" w:name="S4"/>
      <w:bookmarkStart w:id="11" w:name="section-4"/>
      <w:bookmarkEnd w:id="10"/>
      <w:bookmarkEnd w:id="11"/>
      <w:r w:rsidRPr="00DE48C3">
        <w:t>Alogliptin and metformin HCl tablets are contraindicated in patients with:</w:t>
      </w:r>
    </w:p>
    <w:p w14:paraId="4689C041" w14:textId="77777777" w:rsidR="00DE48C3" w:rsidRPr="00DE48C3" w:rsidRDefault="00DE48C3" w:rsidP="00DE48C3">
      <w:pPr>
        <w:numPr>
          <w:ilvl w:val="1"/>
          <w:numId w:val="1"/>
        </w:numPr>
      </w:pPr>
      <w:r w:rsidRPr="00DE48C3">
        <w:t>Severe renal impairment (eGFR below 30 mL/min/1.73 m</w:t>
      </w:r>
      <w:r w:rsidRPr="00DE48C3">
        <w:rPr>
          <w:vertAlign w:val="superscript"/>
        </w:rPr>
        <w:t>2</w:t>
      </w:r>
      <w:r w:rsidRPr="00DE48C3">
        <w:t>)</w:t>
      </w:r>
      <w:r w:rsidRPr="00DE48C3">
        <w:rPr>
          <w:i/>
          <w:iCs/>
        </w:rPr>
        <w:t> [see</w:t>
      </w:r>
      <w:hyperlink r:id="rId13" w:anchor="S5.1" w:history="1">
        <w:r w:rsidRPr="00DE48C3">
          <w:rPr>
            <w:rStyle w:val="Hyperlink"/>
            <w:i/>
            <w:iCs/>
          </w:rPr>
          <w:t> Warnings and Precautions (5.1)</w:t>
        </w:r>
      </w:hyperlink>
      <w:r w:rsidRPr="00DE48C3">
        <w:rPr>
          <w:i/>
          <w:iCs/>
        </w:rPr>
        <w:t>].</w:t>
      </w:r>
    </w:p>
    <w:p w14:paraId="2DA15F9F" w14:textId="77777777" w:rsidR="00DE48C3" w:rsidRPr="00DE48C3" w:rsidRDefault="00DE48C3" w:rsidP="00DE48C3">
      <w:pPr>
        <w:numPr>
          <w:ilvl w:val="1"/>
          <w:numId w:val="1"/>
        </w:numPr>
      </w:pPr>
      <w:r w:rsidRPr="00DE48C3">
        <w:t xml:space="preserve">Acute or chronic metabolic </w:t>
      </w:r>
      <w:proofErr w:type="gramStart"/>
      <w:r w:rsidRPr="00DE48C3">
        <w:t>acidosis,</w:t>
      </w:r>
      <w:proofErr w:type="gramEnd"/>
      <w:r w:rsidRPr="00DE48C3">
        <w:t xml:space="preserve"> </w:t>
      </w:r>
      <w:proofErr w:type="gramStart"/>
      <w:r w:rsidRPr="00DE48C3">
        <w:t>including</w:t>
      </w:r>
      <w:proofErr w:type="gramEnd"/>
      <w:r w:rsidRPr="00DE48C3">
        <w:t xml:space="preserve"> diabetic ketoacidosis with or without coma.</w:t>
      </w:r>
    </w:p>
    <w:p w14:paraId="22DE20B8" w14:textId="77777777" w:rsidR="00DE48C3" w:rsidRPr="00DE48C3" w:rsidRDefault="00DE48C3" w:rsidP="00DE48C3">
      <w:pPr>
        <w:numPr>
          <w:ilvl w:val="1"/>
          <w:numId w:val="1"/>
        </w:numPr>
      </w:pPr>
      <w:r w:rsidRPr="00DE48C3">
        <w:t>History of serious hypersensitivity reaction to alogliptin or metformin or any of the excipients, such as anaphylaxis, angioedema and severe cutaneous adverse reactions </w:t>
      </w:r>
      <w:r w:rsidRPr="00DE48C3">
        <w:rPr>
          <w:i/>
          <w:iCs/>
        </w:rPr>
        <w:t>[see </w:t>
      </w:r>
      <w:hyperlink r:id="rId14" w:anchor="S5.4" w:history="1">
        <w:r w:rsidRPr="00DE48C3">
          <w:rPr>
            <w:rStyle w:val="Hyperlink"/>
            <w:i/>
            <w:iCs/>
          </w:rPr>
          <w:t>Warnings and Precautions (5.4)</w:t>
        </w:r>
      </w:hyperlink>
      <w:r w:rsidRPr="00DE48C3">
        <w:rPr>
          <w:i/>
          <w:iCs/>
        </w:rPr>
        <w:t>, </w:t>
      </w:r>
      <w:hyperlink r:id="rId15" w:anchor="S6.2" w:history="1">
        <w:r w:rsidRPr="00DE48C3">
          <w:rPr>
            <w:rStyle w:val="Hyperlink"/>
            <w:i/>
            <w:iCs/>
          </w:rPr>
          <w:t>Adverse Reactions (6.2)</w:t>
        </w:r>
      </w:hyperlink>
      <w:r w:rsidRPr="00DE48C3">
        <w:rPr>
          <w:i/>
          <w:iCs/>
        </w:rPr>
        <w:t>]</w:t>
      </w:r>
      <w:r w:rsidRPr="00DE48C3">
        <w:t>.</w:t>
      </w:r>
    </w:p>
    <w:p w14:paraId="3E99F109" w14:textId="77777777" w:rsidR="00DE48C3" w:rsidRPr="00DE48C3" w:rsidRDefault="00DE48C3" w:rsidP="00DE48C3">
      <w:hyperlink r:id="rId16" w:anchor="#" w:history="1">
        <w:r w:rsidRPr="00DE48C3">
          <w:rPr>
            <w:rStyle w:val="Hyperlink"/>
          </w:rPr>
          <w:t>Close</w:t>
        </w:r>
      </w:hyperlink>
    </w:p>
    <w:p w14:paraId="32C0B6F8" w14:textId="77777777" w:rsidR="00DE48C3" w:rsidRPr="00DE48C3" w:rsidRDefault="00DE48C3" w:rsidP="00DE48C3">
      <w:pPr>
        <w:numPr>
          <w:ilvl w:val="0"/>
          <w:numId w:val="1"/>
        </w:numPr>
      </w:pPr>
      <w:hyperlink r:id="rId17" w:history="1">
        <w:r w:rsidRPr="00DE48C3">
          <w:rPr>
            <w:rStyle w:val="Hyperlink"/>
          </w:rPr>
          <w:t>5 WARNINGS AND PRECAUTIONS</w:t>
        </w:r>
      </w:hyperlink>
    </w:p>
    <w:p w14:paraId="263813A0" w14:textId="77777777" w:rsidR="00DE48C3" w:rsidRPr="00DE48C3" w:rsidRDefault="00DE48C3" w:rsidP="00DE48C3">
      <w:bookmarkStart w:id="12" w:name="S5"/>
      <w:bookmarkStart w:id="13" w:name="section-5"/>
      <w:bookmarkStart w:id="14" w:name="S5.1"/>
      <w:bookmarkStart w:id="15" w:name="section-5.1"/>
      <w:bookmarkEnd w:id="12"/>
      <w:bookmarkEnd w:id="13"/>
      <w:bookmarkEnd w:id="14"/>
      <w:bookmarkEnd w:id="15"/>
      <w:r w:rsidRPr="00DE48C3">
        <w:t>5.1 Lactic Acidosis</w:t>
      </w:r>
    </w:p>
    <w:p w14:paraId="50559832" w14:textId="77777777" w:rsidR="00DE48C3" w:rsidRPr="00DE48C3" w:rsidRDefault="00DE48C3" w:rsidP="00DE48C3">
      <w:bookmarkStart w:id="16" w:name="section-5.1.1"/>
      <w:bookmarkEnd w:id="16"/>
      <w:r w:rsidRPr="00DE48C3">
        <w:rPr>
          <w:u w:val="single"/>
        </w:rPr>
        <w:t>Lactic Acidosis</w:t>
      </w:r>
    </w:p>
    <w:p w14:paraId="7EBCA368" w14:textId="77777777" w:rsidR="00DE48C3" w:rsidRPr="00DE48C3" w:rsidRDefault="00DE48C3" w:rsidP="00DE48C3">
      <w:r w:rsidRPr="00DE48C3">
        <w:t xml:space="preserve">There have been postmarketing cases of metformin-associated lactic acidosis, including fatal cases. These cases had a subtle onset and were accompanied by nonspecific symptoms such as malaise, myalgias, abdominal pain, respiratory distress, or increased somnolence; however, hypothermia, hypotension and resistant </w:t>
      </w:r>
      <w:proofErr w:type="spellStart"/>
      <w:r w:rsidRPr="00DE48C3">
        <w:t>bradyarrhythmias</w:t>
      </w:r>
      <w:proofErr w:type="spellEnd"/>
      <w:r w:rsidRPr="00DE48C3">
        <w:t xml:space="preserve"> have occurred with severe acidosis. Metformin-associated lactic acidosis was characterized by elevated blood lactate concentrations (greater than 5 mmol/L), anion gap acidosis (without evidence of ketonuria or ketonemia), and an increased </w:t>
      </w:r>
      <w:proofErr w:type="spellStart"/>
      <w:r w:rsidRPr="00DE48C3">
        <w:t>lactate:pyruvate</w:t>
      </w:r>
      <w:proofErr w:type="spellEnd"/>
      <w:r w:rsidRPr="00DE48C3">
        <w:t xml:space="preserve"> ratio; metformin plasma levels generally greater than 5 mcg/</w:t>
      </w:r>
      <w:proofErr w:type="spellStart"/>
      <w:r w:rsidRPr="00DE48C3">
        <w:t>mL.</w:t>
      </w:r>
      <w:proofErr w:type="spellEnd"/>
      <w:r w:rsidRPr="00DE48C3">
        <w:t xml:space="preserve"> Metformin decreases liver uptake of </w:t>
      </w:r>
      <w:proofErr w:type="gramStart"/>
      <w:r w:rsidRPr="00DE48C3">
        <w:t>lactate</w:t>
      </w:r>
      <w:proofErr w:type="gramEnd"/>
      <w:r w:rsidRPr="00DE48C3">
        <w:t xml:space="preserve"> increasing lactate blood levels which may increase the risk of lactic acidosis, especially in patients at risk.</w:t>
      </w:r>
    </w:p>
    <w:p w14:paraId="25D5C68B" w14:textId="77777777" w:rsidR="00DE48C3" w:rsidRPr="00DE48C3" w:rsidRDefault="00DE48C3" w:rsidP="00DE48C3">
      <w:r w:rsidRPr="00DE48C3">
        <w:t xml:space="preserve">If metformin-associated lactic acidosis is suspected, general supportive measures should be instituted promptly in a hospital setting, along with immediate discontinuation of alogliptin and metformin HCl tablets. In alogliptin and metformin HCl tablets-treated </w:t>
      </w:r>
      <w:r w:rsidRPr="00DE48C3">
        <w:lastRenderedPageBreak/>
        <w:t>patients with a diagnosis or strong suspicion of lactic acidosis, prompt hemodialysis is recommended to correct the acidosis and remove accumulated metformin (metformin HCl is dialyzable, with a clearance of up to 170 mL/min under good hemodynamic conditions). Hemodialysis has often resulted in reversal of symptoms and recovery.</w:t>
      </w:r>
    </w:p>
    <w:p w14:paraId="152E7C6B" w14:textId="77777777" w:rsidR="00DE48C3" w:rsidRPr="00DE48C3" w:rsidRDefault="00DE48C3" w:rsidP="00DE48C3">
      <w:r w:rsidRPr="00DE48C3">
        <w:t>Educate patients and their families about the symptoms of lactic acidosis and if these symptoms occur instruct them to discontinue alogliptin and metformin HCl tablets and report these symptoms to their healthcare provider.</w:t>
      </w:r>
    </w:p>
    <w:p w14:paraId="3367D802" w14:textId="77777777" w:rsidR="00DE48C3" w:rsidRPr="00DE48C3" w:rsidRDefault="00DE48C3" w:rsidP="00DE48C3">
      <w:r w:rsidRPr="00DE48C3">
        <w:t>For each of the known and possible risk factors for metformin-associated lactic acidosis, recommendations to reduce the risk of and manage metformin-associated lactic acidosis are provided below:</w:t>
      </w:r>
    </w:p>
    <w:p w14:paraId="31D694FA" w14:textId="77777777" w:rsidR="00DE48C3" w:rsidRPr="00DE48C3" w:rsidRDefault="00DE48C3" w:rsidP="00DE48C3">
      <w:bookmarkStart w:id="17" w:name="section-5.1.2"/>
      <w:bookmarkEnd w:id="17"/>
      <w:r w:rsidRPr="00DE48C3">
        <w:rPr>
          <w:u w:val="single"/>
        </w:rPr>
        <w:t>Renal Impairment</w:t>
      </w:r>
    </w:p>
    <w:p w14:paraId="101E02E8" w14:textId="77777777" w:rsidR="00DE48C3" w:rsidRPr="00DE48C3" w:rsidRDefault="00DE48C3" w:rsidP="00DE48C3">
      <w:r w:rsidRPr="00DE48C3">
        <w:t>The postmarketing metformin-associated lactic acidosis cases primarily occurred in patients with significant renal impairment. The risk of metformin accumulation and metformin-associated lactic acidosis increases with the severity of renal impairment because metformin is substantially excreted by the kidney. Clinical recommendations based upon the patient's renal function include</w:t>
      </w:r>
      <w:r w:rsidRPr="00DE48C3">
        <w:rPr>
          <w:i/>
          <w:iCs/>
        </w:rPr>
        <w:t> [see</w:t>
      </w:r>
      <w:hyperlink r:id="rId18" w:anchor="S2.2" w:history="1">
        <w:r w:rsidRPr="00DE48C3">
          <w:rPr>
            <w:rStyle w:val="Hyperlink"/>
            <w:i/>
            <w:iCs/>
          </w:rPr>
          <w:t> Dosage and Administration (2.2)</w:t>
        </w:r>
      </w:hyperlink>
      <w:r w:rsidRPr="00DE48C3">
        <w:rPr>
          <w:i/>
          <w:iCs/>
        </w:rPr>
        <w:t>,</w:t>
      </w:r>
      <w:hyperlink r:id="rId19" w:anchor="S12.3" w:history="1">
        <w:r w:rsidRPr="00DE48C3">
          <w:rPr>
            <w:rStyle w:val="Hyperlink"/>
            <w:i/>
            <w:iCs/>
          </w:rPr>
          <w:t> Clinical Pharmacology (12.3)</w:t>
        </w:r>
      </w:hyperlink>
      <w:r w:rsidRPr="00DE48C3">
        <w:rPr>
          <w:i/>
          <w:iCs/>
        </w:rPr>
        <w:t>]:</w:t>
      </w:r>
    </w:p>
    <w:p w14:paraId="6A6227B7" w14:textId="77777777" w:rsidR="00DE48C3" w:rsidRPr="00DE48C3" w:rsidRDefault="00DE48C3" w:rsidP="00DE48C3">
      <w:pPr>
        <w:numPr>
          <w:ilvl w:val="1"/>
          <w:numId w:val="1"/>
        </w:numPr>
      </w:pPr>
      <w:r w:rsidRPr="00DE48C3">
        <w:t>Before initiating alogliptin and metformin HCl tablets, obtain an eGFR.</w:t>
      </w:r>
    </w:p>
    <w:p w14:paraId="529A827A" w14:textId="77777777" w:rsidR="00DE48C3" w:rsidRPr="00DE48C3" w:rsidRDefault="00DE48C3" w:rsidP="00DE48C3">
      <w:pPr>
        <w:numPr>
          <w:ilvl w:val="1"/>
          <w:numId w:val="1"/>
        </w:numPr>
      </w:pPr>
      <w:r w:rsidRPr="00DE48C3">
        <w:t>Alogliptin and metformin HCl tablets are contraindicated in patients with an eGFR less than 30 mL/min/1.73 m</w:t>
      </w:r>
      <w:r w:rsidRPr="00DE48C3">
        <w:rPr>
          <w:vertAlign w:val="superscript"/>
        </w:rPr>
        <w:t>2 </w:t>
      </w:r>
      <w:r w:rsidRPr="00DE48C3">
        <w:rPr>
          <w:i/>
          <w:iCs/>
        </w:rPr>
        <w:t>[see</w:t>
      </w:r>
      <w:hyperlink r:id="rId20" w:anchor="S4" w:history="1">
        <w:r w:rsidRPr="00DE48C3">
          <w:rPr>
            <w:rStyle w:val="Hyperlink"/>
            <w:i/>
            <w:iCs/>
          </w:rPr>
          <w:t> Contraindications (4)</w:t>
        </w:r>
      </w:hyperlink>
      <w:r w:rsidRPr="00DE48C3">
        <w:rPr>
          <w:i/>
          <w:iCs/>
        </w:rPr>
        <w:t>]</w:t>
      </w:r>
      <w:r w:rsidRPr="00DE48C3">
        <w:t>.</w:t>
      </w:r>
    </w:p>
    <w:p w14:paraId="0C8C6AD9" w14:textId="77777777" w:rsidR="00DE48C3" w:rsidRPr="00DE48C3" w:rsidRDefault="00DE48C3" w:rsidP="00DE48C3">
      <w:pPr>
        <w:numPr>
          <w:ilvl w:val="1"/>
          <w:numId w:val="1"/>
        </w:numPr>
      </w:pPr>
      <w:r w:rsidRPr="00DE48C3">
        <w:t>Alogliptin and metformin HCl tablets are not recommended in patients with an eGFR between 30 and 60 mL/min/1.73 m</w:t>
      </w:r>
      <w:r w:rsidRPr="00DE48C3">
        <w:rPr>
          <w:vertAlign w:val="superscript"/>
        </w:rPr>
        <w:t>2 </w:t>
      </w:r>
      <w:r w:rsidRPr="00DE48C3">
        <w:t>because these patients require a lower dosage of alogliptin than what is available in the fixed combination alogliptin and metformin HCl tablets product.</w:t>
      </w:r>
    </w:p>
    <w:p w14:paraId="01EBC939" w14:textId="77777777" w:rsidR="00DE48C3" w:rsidRPr="00DE48C3" w:rsidRDefault="00DE48C3" w:rsidP="00DE48C3">
      <w:pPr>
        <w:numPr>
          <w:ilvl w:val="1"/>
          <w:numId w:val="1"/>
        </w:numPr>
      </w:pPr>
      <w:r w:rsidRPr="00DE48C3">
        <w:t>Obtain an eGFR at least annually in all patients taking alogliptin and metformin HCl tablets. In patients at increased risk for the development of renal impairment (e.g., the elderly), renal function should be assessed more frequently.</w:t>
      </w:r>
    </w:p>
    <w:p w14:paraId="4D9340A2" w14:textId="77777777" w:rsidR="00DE48C3" w:rsidRPr="00DE48C3" w:rsidRDefault="00DE48C3" w:rsidP="00DE48C3">
      <w:bookmarkStart w:id="18" w:name="section-5.1.3"/>
      <w:bookmarkEnd w:id="18"/>
      <w:r w:rsidRPr="00DE48C3">
        <w:rPr>
          <w:u w:val="single"/>
        </w:rPr>
        <w:t>Drug Interactions</w:t>
      </w:r>
    </w:p>
    <w:p w14:paraId="25237826" w14:textId="77777777" w:rsidR="00DE48C3" w:rsidRPr="00DE48C3" w:rsidRDefault="00DE48C3" w:rsidP="00DE48C3">
      <w:r w:rsidRPr="00DE48C3">
        <w:t xml:space="preserve">The concomitant use of alogliptin and metformin HCl tablets with specific drugs may increase the risk of metformin-associated lactic acidosis: those that impair renal function, result in significant hemodynamic change, interfere with acid-base balance or increase </w:t>
      </w:r>
      <w:r w:rsidRPr="00DE48C3">
        <w:lastRenderedPageBreak/>
        <w:t>metformin accumulation</w:t>
      </w:r>
      <w:r w:rsidRPr="00DE48C3">
        <w:rPr>
          <w:i/>
          <w:iCs/>
        </w:rPr>
        <w:t> [see</w:t>
      </w:r>
      <w:hyperlink r:id="rId21" w:anchor="S7" w:history="1">
        <w:r w:rsidRPr="00DE48C3">
          <w:rPr>
            <w:rStyle w:val="Hyperlink"/>
            <w:i/>
            <w:iCs/>
          </w:rPr>
          <w:t> Drug Interactions (7)</w:t>
        </w:r>
      </w:hyperlink>
      <w:r w:rsidRPr="00DE48C3">
        <w:rPr>
          <w:i/>
          <w:iCs/>
        </w:rPr>
        <w:t>]. </w:t>
      </w:r>
      <w:r w:rsidRPr="00DE48C3">
        <w:t>Therefore, consider more frequent monitoring of patients.</w:t>
      </w:r>
    </w:p>
    <w:p w14:paraId="5CC5067F" w14:textId="77777777" w:rsidR="00DE48C3" w:rsidRPr="00DE48C3" w:rsidRDefault="00DE48C3" w:rsidP="00DE48C3">
      <w:bookmarkStart w:id="19" w:name="section-5.1.4"/>
      <w:bookmarkEnd w:id="19"/>
      <w:r w:rsidRPr="00DE48C3">
        <w:rPr>
          <w:u w:val="single"/>
        </w:rPr>
        <w:t>Age 65 or Greater</w:t>
      </w:r>
    </w:p>
    <w:p w14:paraId="0D9714ED" w14:textId="77777777" w:rsidR="00DE48C3" w:rsidRPr="00DE48C3" w:rsidRDefault="00DE48C3" w:rsidP="00DE48C3">
      <w:r w:rsidRPr="00DE48C3">
        <w:t>The risk of metformin-associated lactic acidosis increases with the patient's age because elderly patients have a greater likelihood of having hepatic, renal, or cardiac impairment than younger patients. Assess renal function more frequently in elderly patients</w:t>
      </w:r>
      <w:r w:rsidRPr="00DE48C3">
        <w:rPr>
          <w:i/>
          <w:iCs/>
        </w:rPr>
        <w:t> [see</w:t>
      </w:r>
      <w:hyperlink r:id="rId22" w:anchor="S8.5" w:history="1">
        <w:r w:rsidRPr="00DE48C3">
          <w:rPr>
            <w:rStyle w:val="Hyperlink"/>
            <w:i/>
            <w:iCs/>
          </w:rPr>
          <w:t> Use in Specific Populations (8.5)</w:t>
        </w:r>
      </w:hyperlink>
      <w:r w:rsidRPr="00DE48C3">
        <w:rPr>
          <w:i/>
          <w:iCs/>
        </w:rPr>
        <w:t>].</w:t>
      </w:r>
    </w:p>
    <w:p w14:paraId="780A72F4" w14:textId="77777777" w:rsidR="00DE48C3" w:rsidRPr="00DE48C3" w:rsidRDefault="00DE48C3" w:rsidP="00DE48C3">
      <w:bookmarkStart w:id="20" w:name="section-5.1.5"/>
      <w:bookmarkEnd w:id="20"/>
      <w:r w:rsidRPr="00DE48C3">
        <w:rPr>
          <w:u w:val="single"/>
        </w:rPr>
        <w:t>Radiological Studies with Contrast</w:t>
      </w:r>
    </w:p>
    <w:p w14:paraId="43E8F6F2" w14:textId="77777777" w:rsidR="00DE48C3" w:rsidRPr="00DE48C3" w:rsidRDefault="00DE48C3" w:rsidP="00DE48C3">
      <w:r w:rsidRPr="00DE48C3">
        <w:t>Administration of intravascular iodinated contrast agents in metformin-treated patients has led to an acute decrease in renal function and the occurrence of lactic acidosis. Stop alogliptin and metformin HCl tablets at the time of, or prior to, an iodinated contrast imaging procedure in patients with an eGFR between 30 and 60 mL/min/1.73 m</w:t>
      </w:r>
      <w:r w:rsidRPr="00DE48C3">
        <w:rPr>
          <w:vertAlign w:val="superscript"/>
        </w:rPr>
        <w:t>2</w:t>
      </w:r>
      <w:r w:rsidRPr="00DE48C3">
        <w:t>; in patients with a history of hepatic impairment, alcoholism, or heart failure; or in patients who will be administered intra-arterial iodinated contrast. Re-evaluate eGFR 48 hours after the imaging procedure, and restart alogliptin and metformin HCl tablets if renal function is stable.</w:t>
      </w:r>
    </w:p>
    <w:p w14:paraId="5B5688F0" w14:textId="77777777" w:rsidR="00DE48C3" w:rsidRPr="00DE48C3" w:rsidRDefault="00DE48C3" w:rsidP="00DE48C3">
      <w:bookmarkStart w:id="21" w:name="section-5.1.6"/>
      <w:bookmarkEnd w:id="21"/>
      <w:r w:rsidRPr="00DE48C3">
        <w:rPr>
          <w:u w:val="single"/>
        </w:rPr>
        <w:t>Surgery and Other Procedures</w:t>
      </w:r>
    </w:p>
    <w:p w14:paraId="21D05607" w14:textId="77777777" w:rsidR="00DE48C3" w:rsidRPr="00DE48C3" w:rsidRDefault="00DE48C3" w:rsidP="00DE48C3">
      <w:proofErr w:type="gramStart"/>
      <w:r w:rsidRPr="00DE48C3">
        <w:t>Withholding of</w:t>
      </w:r>
      <w:proofErr w:type="gramEnd"/>
      <w:r w:rsidRPr="00DE48C3">
        <w:t xml:space="preserve"> food and fluids during surgical or other procedures may increase the risk for volume depletion, hypotension and renal impairment. Alogliptin and metformin HCl tablets should be temporarily discontinued while patients have restricted food and fluid intake.</w:t>
      </w:r>
    </w:p>
    <w:p w14:paraId="5081012A" w14:textId="77777777" w:rsidR="00DE48C3" w:rsidRPr="00DE48C3" w:rsidRDefault="00DE48C3" w:rsidP="00DE48C3">
      <w:bookmarkStart w:id="22" w:name="section-5.1.7"/>
      <w:bookmarkEnd w:id="22"/>
      <w:r w:rsidRPr="00DE48C3">
        <w:rPr>
          <w:u w:val="single"/>
        </w:rPr>
        <w:t>Hypoxic States</w:t>
      </w:r>
    </w:p>
    <w:p w14:paraId="00169210" w14:textId="77777777" w:rsidR="00DE48C3" w:rsidRPr="00DE48C3" w:rsidRDefault="00DE48C3" w:rsidP="00DE48C3">
      <w:r w:rsidRPr="00DE48C3">
        <w:t>Several of the postmarketing cases of metformin-associated lactic acidosis occurred in the setting of acute congestive heart failure (particularly when accompanied by hypoperfusion and hypoxemia). Cardiovascular collapse (shock), acute myocardial infarction, sepsis, and other conditions associated with hypoxemia have been associated with lactic acidosis and may also cause prerenal azotemia. When such events occur, discontinue alogliptin and metformin HCl tablets.</w:t>
      </w:r>
    </w:p>
    <w:p w14:paraId="7CEE0F34" w14:textId="77777777" w:rsidR="00DE48C3" w:rsidRPr="00DE48C3" w:rsidRDefault="00DE48C3" w:rsidP="00DE48C3">
      <w:bookmarkStart w:id="23" w:name="section-5.1.8"/>
      <w:bookmarkEnd w:id="23"/>
      <w:r w:rsidRPr="00DE48C3">
        <w:rPr>
          <w:u w:val="single"/>
        </w:rPr>
        <w:t>Excessive Alcohol Intake</w:t>
      </w:r>
    </w:p>
    <w:p w14:paraId="53CA4237" w14:textId="77777777" w:rsidR="00DE48C3" w:rsidRPr="00DE48C3" w:rsidRDefault="00DE48C3" w:rsidP="00DE48C3">
      <w:r w:rsidRPr="00DE48C3">
        <w:t xml:space="preserve">Alcohol potentiates the effect of metformin on lactate </w:t>
      </w:r>
      <w:proofErr w:type="gramStart"/>
      <w:r w:rsidRPr="00DE48C3">
        <w:t>metabolism</w:t>
      </w:r>
      <w:proofErr w:type="gramEnd"/>
      <w:r w:rsidRPr="00DE48C3">
        <w:t xml:space="preserve"> and this may increase the risk of metformin-associated lactic acidosis. Warn patients against excessive alcohol intake while receiving alogliptin and metformin HCl tablets.</w:t>
      </w:r>
    </w:p>
    <w:p w14:paraId="115B1711" w14:textId="77777777" w:rsidR="00DE48C3" w:rsidRPr="00DE48C3" w:rsidRDefault="00DE48C3" w:rsidP="00DE48C3">
      <w:bookmarkStart w:id="24" w:name="section-5.1.9"/>
      <w:bookmarkEnd w:id="24"/>
      <w:r w:rsidRPr="00DE48C3">
        <w:rPr>
          <w:u w:val="single"/>
        </w:rPr>
        <w:t>Hepatic Impairment</w:t>
      </w:r>
    </w:p>
    <w:p w14:paraId="6E90ADE8" w14:textId="77777777" w:rsidR="00DE48C3" w:rsidRPr="00DE48C3" w:rsidRDefault="00DE48C3" w:rsidP="00DE48C3">
      <w:r w:rsidRPr="00DE48C3">
        <w:lastRenderedPageBreak/>
        <w:t>Patients with hepatic impairment have developed with cases of metformin-associated lactic acidosis. This may be due to impaired lactate clearance resulting in higher lactate blood levels. Therefore, avoid use of alogliptin and metformin HCl tablets in patients with clinical or laboratory evidence of hepatic disease.</w:t>
      </w:r>
    </w:p>
    <w:p w14:paraId="3F6C891A" w14:textId="77777777" w:rsidR="00DE48C3" w:rsidRPr="00DE48C3" w:rsidRDefault="00DE48C3" w:rsidP="00DE48C3">
      <w:bookmarkStart w:id="25" w:name="S5.2"/>
      <w:bookmarkStart w:id="26" w:name="section-5.2"/>
      <w:bookmarkEnd w:id="25"/>
      <w:bookmarkEnd w:id="26"/>
      <w:r w:rsidRPr="00DE48C3">
        <w:t>5.2 Pancreatitis</w:t>
      </w:r>
    </w:p>
    <w:p w14:paraId="41D492F8" w14:textId="77777777" w:rsidR="00DE48C3" w:rsidRPr="00DE48C3" w:rsidRDefault="00DE48C3" w:rsidP="00DE48C3">
      <w:r w:rsidRPr="00DE48C3">
        <w:t>Acute pancreatitis has been reported in the postmarketing setting and in randomized clinical trials. In glycemic control trials in patients with type 2 diabetes mellitus, acute pancreatitis was reported in 6 (0.2%) patients treated with alogliptin 25 mg and 2 (&lt;0.1%) patients treated with active comparators or placebo. In the EXAMINE trial (a cardiovascular outcomes trial of patients with type 2 diabetes mellitus and high cardiovascular (CV) risk), acute pancreatitis was reported in 10 (0.4%) patients treated with alogliptin and in 7 (0.3%) patients treated with placebo.</w:t>
      </w:r>
    </w:p>
    <w:p w14:paraId="13171CD9" w14:textId="77777777" w:rsidR="00DE48C3" w:rsidRPr="00DE48C3" w:rsidRDefault="00DE48C3" w:rsidP="00DE48C3">
      <w:r w:rsidRPr="00DE48C3">
        <w:t>It is unknown whether patients with a history of pancreatitis are at increased risk for pancreatitis while using alogliptin and metformin HCl tablets</w:t>
      </w:r>
      <w:r w:rsidRPr="00DE48C3">
        <w:rPr>
          <w:i/>
          <w:iCs/>
        </w:rPr>
        <w:t>.</w:t>
      </w:r>
    </w:p>
    <w:p w14:paraId="78BA61C2" w14:textId="77777777" w:rsidR="00DE48C3" w:rsidRPr="00DE48C3" w:rsidRDefault="00DE48C3" w:rsidP="00DE48C3">
      <w:r w:rsidRPr="00DE48C3">
        <w:t>After initiation of alogliptin and metformin HCl tablets, patients should be observed for signs and symptoms of pancreatitis. If pancreatitis is suspected, alogliptin should promptly be discontinued and appropriate management should be initiated.</w:t>
      </w:r>
    </w:p>
    <w:p w14:paraId="214540C5" w14:textId="77777777" w:rsidR="00DE48C3" w:rsidRPr="00DE48C3" w:rsidRDefault="00DE48C3" w:rsidP="00DE48C3">
      <w:bookmarkStart w:id="27" w:name="S5.3"/>
      <w:bookmarkStart w:id="28" w:name="section-5.3"/>
      <w:bookmarkEnd w:id="27"/>
      <w:bookmarkEnd w:id="28"/>
      <w:r w:rsidRPr="00DE48C3">
        <w:t>5.3 Heart Failure</w:t>
      </w:r>
    </w:p>
    <w:p w14:paraId="78D2919E" w14:textId="77777777" w:rsidR="00DE48C3" w:rsidRPr="00DE48C3" w:rsidRDefault="00DE48C3" w:rsidP="00DE48C3">
      <w:r w:rsidRPr="00DE48C3">
        <w:t>In the EXAMINE trial which enrolled patients with type 2 diabetes mellitus and recent acute coronary syndrome, 106 (3.9%) of patients treated with alogliptin and 89 (3.3%) of patients treated with placebo were hospitalized for congestive heart failure.</w:t>
      </w:r>
    </w:p>
    <w:p w14:paraId="41294240" w14:textId="77777777" w:rsidR="00DE48C3" w:rsidRPr="00DE48C3" w:rsidRDefault="00DE48C3" w:rsidP="00DE48C3">
      <w:r w:rsidRPr="00DE48C3">
        <w:t xml:space="preserve">Consider the risks and benefits of alogliptin and metformin HCl tablets prior to initiating treatment in patients at risk for heart failure, such as those with a prior history of heart failure and a history of renal </w:t>
      </w:r>
      <w:proofErr w:type="gramStart"/>
      <w:r w:rsidRPr="00DE48C3">
        <w:t>impairment, and</w:t>
      </w:r>
      <w:proofErr w:type="gramEnd"/>
      <w:r w:rsidRPr="00DE48C3">
        <w:t xml:space="preserve"> observe these patients for signs and symptoms of heart failure during therapy. Patients should be advised of the characteristic symptoms of heart failure and should be instructed to immediately report such symptoms. If heart failure develops, evaluate and manage according to current standards of care and consider discontinuation of alogliptin and metformin HCl tablets.</w:t>
      </w:r>
    </w:p>
    <w:p w14:paraId="66DF61CC" w14:textId="77777777" w:rsidR="00DE48C3" w:rsidRPr="00DE48C3" w:rsidRDefault="00DE48C3" w:rsidP="00DE48C3">
      <w:bookmarkStart w:id="29" w:name="S5.4"/>
      <w:bookmarkStart w:id="30" w:name="section-5.4"/>
      <w:bookmarkEnd w:id="29"/>
      <w:bookmarkEnd w:id="30"/>
      <w:r w:rsidRPr="00DE48C3">
        <w:t>5.4 Hypersensitivity Reactions</w:t>
      </w:r>
    </w:p>
    <w:p w14:paraId="22B7B311" w14:textId="77777777" w:rsidR="00DE48C3" w:rsidRPr="00DE48C3" w:rsidRDefault="00DE48C3" w:rsidP="00DE48C3">
      <w:r w:rsidRPr="00DE48C3">
        <w:t>There have been postmarketing reports of serious hypersensitivity reactions in patients treated with alogliptin </w:t>
      </w:r>
      <w:r w:rsidRPr="00DE48C3">
        <w:rPr>
          <w:i/>
          <w:iCs/>
        </w:rPr>
        <w:t>[see</w:t>
      </w:r>
      <w:hyperlink r:id="rId23" w:anchor="S6.2" w:history="1">
        <w:r w:rsidRPr="00DE48C3">
          <w:rPr>
            <w:rStyle w:val="Hyperlink"/>
            <w:i/>
            <w:iCs/>
          </w:rPr>
          <w:t> Adverse Reactions (6.2)</w:t>
        </w:r>
      </w:hyperlink>
      <w:r w:rsidRPr="00DE48C3">
        <w:rPr>
          <w:i/>
          <w:iCs/>
        </w:rPr>
        <w:t>]</w:t>
      </w:r>
      <w:r w:rsidRPr="00DE48C3">
        <w:t xml:space="preserve">. These reactions include anaphylaxis, angioedema and severe cutaneous adverse reactions, including Stevens-Johnson syndrome. If a serious hypersensitivity reaction is suspected, discontinue alogliptin and metformin HCl tablets, assess for other potential causes for the event and institute </w:t>
      </w:r>
      <w:r w:rsidRPr="00DE48C3">
        <w:lastRenderedPageBreak/>
        <w:t>alternative treatment for diabetes mellitus. Use caution in patients with a history of angioedema with another dipeptidyl peptidase-4 (DPP-4) inhibitor because it is unknown whether such patients will be predisposed to angioedema with alogliptin and metformin HCl tablets.</w:t>
      </w:r>
    </w:p>
    <w:p w14:paraId="7C5D527D" w14:textId="77777777" w:rsidR="00DE48C3" w:rsidRPr="00DE48C3" w:rsidRDefault="00DE48C3" w:rsidP="00DE48C3">
      <w:bookmarkStart w:id="31" w:name="S5.5"/>
      <w:bookmarkStart w:id="32" w:name="section-5.5"/>
      <w:bookmarkEnd w:id="31"/>
      <w:bookmarkEnd w:id="32"/>
      <w:r w:rsidRPr="00DE48C3">
        <w:t>5.5 Hepatic Effects</w:t>
      </w:r>
    </w:p>
    <w:p w14:paraId="233271E9" w14:textId="77777777" w:rsidR="00DE48C3" w:rsidRPr="00DE48C3" w:rsidRDefault="00DE48C3" w:rsidP="00DE48C3">
      <w:r w:rsidRPr="00DE48C3">
        <w:t>There have been postmarketing reports of fatal and nonfatal hepatic failure in patients taking alogliptin, although some of the reports contain insufficient information necessary to establish the probable cause</w:t>
      </w:r>
      <w:r w:rsidRPr="00DE48C3">
        <w:rPr>
          <w:i/>
          <w:iCs/>
        </w:rPr>
        <w:t> [see</w:t>
      </w:r>
      <w:hyperlink r:id="rId24" w:anchor="S6.2" w:history="1">
        <w:r w:rsidRPr="00DE48C3">
          <w:rPr>
            <w:rStyle w:val="Hyperlink"/>
            <w:i/>
            <w:iCs/>
          </w:rPr>
          <w:t> Adverse Reactions (6.2)</w:t>
        </w:r>
      </w:hyperlink>
      <w:r w:rsidRPr="00DE48C3">
        <w:rPr>
          <w:i/>
          <w:iCs/>
        </w:rPr>
        <w:t>].</w:t>
      </w:r>
    </w:p>
    <w:p w14:paraId="6148ABB8" w14:textId="77777777" w:rsidR="00DE48C3" w:rsidRPr="00DE48C3" w:rsidRDefault="00DE48C3" w:rsidP="00DE48C3">
      <w:r w:rsidRPr="00DE48C3">
        <w:t>In glycemic control trials in patients with type 2 diabetes mellitus, serum alanine aminotransferase (ALT) elevations greater than three times the upper limit of normal (ULN) were reported in 1.3% of patients treated with alogliptin 25 mg and 1.7% of patients treated with active comparators or placebo. In the EXAMINE trial (a cardiovascular outcomes trial of patients with type 2 diabetes mellitus and high cardiovascular (CV) risk), increases in serum alanine aminotransferase three times the upper limit of the reference range occurred in 2.4% of patients treated with alogliptin and in 1.8% of patients treated with placebo.</w:t>
      </w:r>
    </w:p>
    <w:p w14:paraId="3BF094E6" w14:textId="77777777" w:rsidR="00DE48C3" w:rsidRPr="00DE48C3" w:rsidRDefault="00DE48C3" w:rsidP="00DE48C3">
      <w:r w:rsidRPr="00DE48C3">
        <w:t>Measure liver tests promptly in patients who report symptoms that may indicate liver injury, including fatigue, anorexia, right upper abdominal discomfort, dark urine or jaundice. In this clinical context, if the patient is found to have clinically significant liver enzyme elevations and if abnormal liver tests persist or worsen, alogliptin and metformin HCl tablets should be interrupted and investigation done to establish the probable cause. Alogliptin and metformin HCl tablets should not be restarted in these patients without another explanation for the liver test abnormalities.</w:t>
      </w:r>
    </w:p>
    <w:p w14:paraId="178D1A57" w14:textId="77777777" w:rsidR="00DE48C3" w:rsidRPr="00DE48C3" w:rsidRDefault="00DE48C3" w:rsidP="00DE48C3">
      <w:bookmarkStart w:id="33" w:name="S5.6"/>
      <w:bookmarkStart w:id="34" w:name="section-5.6"/>
      <w:bookmarkEnd w:id="33"/>
      <w:bookmarkEnd w:id="34"/>
      <w:r w:rsidRPr="00DE48C3">
        <w:t>5.6 Vitamin B12 Levels</w:t>
      </w:r>
    </w:p>
    <w:p w14:paraId="1B384CD5" w14:textId="77777777" w:rsidR="00DE48C3" w:rsidRPr="00DE48C3" w:rsidRDefault="00DE48C3" w:rsidP="00DE48C3">
      <w:r w:rsidRPr="00DE48C3">
        <w:t xml:space="preserve">In metformin clinical trials of </w:t>
      </w:r>
      <w:proofErr w:type="gramStart"/>
      <w:r w:rsidRPr="00DE48C3">
        <w:t>29 week</w:t>
      </w:r>
      <w:proofErr w:type="gramEnd"/>
      <w:r w:rsidRPr="00DE48C3">
        <w:t xml:space="preserve"> duration, a decrease to subnormal levels of previously normal serum vitamin B12 levels was observed in approximately 7% of patients. Such decrease, possibly due to interference with B12 absorption from the B12-intrinsic factor complex, may be associated with anemia but appears to be rapidly reversible with discontinuation of metformin or vitamin B12 supplementation. Certain individuals (those with inadequate vitamin B12 or calcium intake or absorption) appear to be predisposed to developing subnormal vitamin B12 levels. Measure hematologic parameters on an annual basis and vitamin B12 at 2 to 3 year intervals in patients on alogliptin with metformin and manage any abnormalities [</w:t>
      </w:r>
      <w:r w:rsidRPr="00DE48C3">
        <w:rPr>
          <w:i/>
          <w:iCs/>
        </w:rPr>
        <w:t>see </w:t>
      </w:r>
      <w:hyperlink r:id="rId25" w:anchor="S6.1" w:history="1">
        <w:r w:rsidRPr="00DE48C3">
          <w:rPr>
            <w:rStyle w:val="Hyperlink"/>
            <w:i/>
            <w:iCs/>
          </w:rPr>
          <w:t>Adverse Reactions (6.1)</w:t>
        </w:r>
      </w:hyperlink>
      <w:r w:rsidRPr="00DE48C3">
        <w:rPr>
          <w:i/>
          <w:iCs/>
        </w:rPr>
        <w:t>]</w:t>
      </w:r>
      <w:r w:rsidRPr="00DE48C3">
        <w:t>.</w:t>
      </w:r>
    </w:p>
    <w:p w14:paraId="59E836F5" w14:textId="77777777" w:rsidR="00DE48C3" w:rsidRPr="00DE48C3" w:rsidRDefault="00DE48C3" w:rsidP="00DE48C3">
      <w:bookmarkStart w:id="35" w:name="S5.7"/>
      <w:bookmarkStart w:id="36" w:name="section-5.7"/>
      <w:bookmarkEnd w:id="35"/>
      <w:bookmarkEnd w:id="36"/>
      <w:r w:rsidRPr="00DE48C3">
        <w:t>5.7 Hypoglycemia with Concomitant Use with Insulin or Insulin Secretagogues</w:t>
      </w:r>
    </w:p>
    <w:p w14:paraId="3C913BF5" w14:textId="77777777" w:rsidR="00DE48C3" w:rsidRPr="00DE48C3" w:rsidRDefault="00DE48C3" w:rsidP="00DE48C3">
      <w:r w:rsidRPr="00DE48C3">
        <w:lastRenderedPageBreak/>
        <w:t>Insulin and insulin secretagogues, such as sulfonylureas, are known to cause hypoglycemia. Therefore, a lower dosage of insulin or insulin secretagogue may be required to minimize the risk of hypoglycemia when used in combination with alogliptin and metformin HCl tablets.</w:t>
      </w:r>
    </w:p>
    <w:p w14:paraId="2AB5EF83" w14:textId="77777777" w:rsidR="00DE48C3" w:rsidRPr="00DE48C3" w:rsidRDefault="00DE48C3" w:rsidP="00DE48C3">
      <w:bookmarkStart w:id="37" w:name="S5.8"/>
      <w:bookmarkStart w:id="38" w:name="section-5.8"/>
      <w:bookmarkEnd w:id="37"/>
      <w:bookmarkEnd w:id="38"/>
      <w:r w:rsidRPr="00DE48C3">
        <w:t>5.8 Severe and Disabling Arthralgia</w:t>
      </w:r>
    </w:p>
    <w:p w14:paraId="20B22F56" w14:textId="77777777" w:rsidR="00DE48C3" w:rsidRPr="00DE48C3" w:rsidRDefault="00DE48C3" w:rsidP="00DE48C3">
      <w:r w:rsidRPr="00DE48C3">
        <w:t xml:space="preserve">There have been postmarketing reports of severe and disabling arthralgia in patients taking DPP-4 inhibitors. The time to </w:t>
      </w:r>
      <w:proofErr w:type="gramStart"/>
      <w:r w:rsidRPr="00DE48C3">
        <w:t>onset of</w:t>
      </w:r>
      <w:proofErr w:type="gramEnd"/>
      <w:r w:rsidRPr="00DE48C3">
        <w:t xml:space="preserve"> symptoms following initiation of drug therapy varied from one day to years. Patients experienced relief of symptoms upon discontinuation of the medication. A subset of patients experienced a recurrence of symptoms when restarting the same drug or a different DPP-4 inhibitor. Consider DPP-4 inhibitors as a possible cause for severe joint pain and discontinue drug if appropriate.</w:t>
      </w:r>
    </w:p>
    <w:p w14:paraId="6ECEB94D" w14:textId="77777777" w:rsidR="00DE48C3" w:rsidRPr="00DE48C3" w:rsidRDefault="00DE48C3" w:rsidP="00DE48C3">
      <w:bookmarkStart w:id="39" w:name="S5.9"/>
      <w:bookmarkStart w:id="40" w:name="section-5.9"/>
      <w:bookmarkEnd w:id="39"/>
      <w:bookmarkEnd w:id="40"/>
      <w:r w:rsidRPr="00DE48C3">
        <w:t>5.9 Bullous Pemphigoid</w:t>
      </w:r>
    </w:p>
    <w:p w14:paraId="0BA7AE9F" w14:textId="77777777" w:rsidR="00DE48C3" w:rsidRPr="00DE48C3" w:rsidRDefault="00DE48C3" w:rsidP="00DE48C3">
      <w:r w:rsidRPr="00DE48C3">
        <w:t xml:space="preserve">Postmarketing cases of bullous pemphigoid requiring hospitalization have been reported with DPP-4 inhibitor use. In reported cases, patients typically recovered with topical or systemic immunosuppressive treatment and discontinuation of DPP-4 inhibitor. Tell patients to report development of blisters or erosions while receiving alogliptin and metformin HCl tablets. If bullous </w:t>
      </w:r>
      <w:proofErr w:type="gramStart"/>
      <w:r w:rsidRPr="00DE48C3">
        <w:t>pemphigoid is</w:t>
      </w:r>
      <w:proofErr w:type="gramEnd"/>
      <w:r w:rsidRPr="00DE48C3">
        <w:t xml:space="preserve"> suspected, alogliptin and metformin HCl tablets should be discontinued and referral to a dermatologist should be considered for diagnosis and appropriate treatment.</w:t>
      </w:r>
    </w:p>
    <w:p w14:paraId="32E65E3A" w14:textId="77777777" w:rsidR="00DE48C3" w:rsidRDefault="00DE48C3"/>
    <w:sectPr w:rsidR="00DE4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20574"/>
    <w:multiLevelType w:val="multilevel"/>
    <w:tmpl w:val="C492C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81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C3"/>
    <w:rsid w:val="009108EF"/>
    <w:rsid w:val="00A66AC2"/>
    <w:rsid w:val="00DE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1A29"/>
  <w15:chartTrackingRefBased/>
  <w15:docId w15:val="{8A80D737-9F5A-4CD6-B9BF-7CCA6904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8C3"/>
    <w:rPr>
      <w:rFonts w:eastAsiaTheme="majorEastAsia" w:cstheme="majorBidi"/>
      <w:color w:val="272727" w:themeColor="text1" w:themeTint="D8"/>
    </w:rPr>
  </w:style>
  <w:style w:type="paragraph" w:styleId="Title">
    <w:name w:val="Title"/>
    <w:basedOn w:val="Normal"/>
    <w:next w:val="Normal"/>
    <w:link w:val="TitleChar"/>
    <w:uiPriority w:val="10"/>
    <w:qFormat/>
    <w:rsid w:val="00DE4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8C3"/>
    <w:pPr>
      <w:spacing w:before="160"/>
      <w:jc w:val="center"/>
    </w:pPr>
    <w:rPr>
      <w:i/>
      <w:iCs/>
      <w:color w:val="404040" w:themeColor="text1" w:themeTint="BF"/>
    </w:rPr>
  </w:style>
  <w:style w:type="character" w:customStyle="1" w:styleId="QuoteChar">
    <w:name w:val="Quote Char"/>
    <w:basedOn w:val="DefaultParagraphFont"/>
    <w:link w:val="Quote"/>
    <w:uiPriority w:val="29"/>
    <w:rsid w:val="00DE48C3"/>
    <w:rPr>
      <w:i/>
      <w:iCs/>
      <w:color w:val="404040" w:themeColor="text1" w:themeTint="BF"/>
    </w:rPr>
  </w:style>
  <w:style w:type="paragraph" w:styleId="ListParagraph">
    <w:name w:val="List Paragraph"/>
    <w:basedOn w:val="Normal"/>
    <w:uiPriority w:val="34"/>
    <w:qFormat/>
    <w:rsid w:val="00DE48C3"/>
    <w:pPr>
      <w:ind w:left="720"/>
      <w:contextualSpacing/>
    </w:pPr>
  </w:style>
  <w:style w:type="character" w:styleId="IntenseEmphasis">
    <w:name w:val="Intense Emphasis"/>
    <w:basedOn w:val="DefaultParagraphFont"/>
    <w:uiPriority w:val="21"/>
    <w:qFormat/>
    <w:rsid w:val="00DE48C3"/>
    <w:rPr>
      <w:i/>
      <w:iCs/>
      <w:color w:val="0F4761" w:themeColor="accent1" w:themeShade="BF"/>
    </w:rPr>
  </w:style>
  <w:style w:type="paragraph" w:styleId="IntenseQuote">
    <w:name w:val="Intense Quote"/>
    <w:basedOn w:val="Normal"/>
    <w:next w:val="Normal"/>
    <w:link w:val="IntenseQuoteChar"/>
    <w:uiPriority w:val="30"/>
    <w:qFormat/>
    <w:rsid w:val="00DE4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8C3"/>
    <w:rPr>
      <w:i/>
      <w:iCs/>
      <w:color w:val="0F4761" w:themeColor="accent1" w:themeShade="BF"/>
    </w:rPr>
  </w:style>
  <w:style w:type="character" w:styleId="IntenseReference">
    <w:name w:val="Intense Reference"/>
    <w:basedOn w:val="DefaultParagraphFont"/>
    <w:uiPriority w:val="32"/>
    <w:qFormat/>
    <w:rsid w:val="00DE48C3"/>
    <w:rPr>
      <w:b/>
      <w:bCs/>
      <w:smallCaps/>
      <w:color w:val="0F4761" w:themeColor="accent1" w:themeShade="BF"/>
      <w:spacing w:val="5"/>
    </w:rPr>
  </w:style>
  <w:style w:type="character" w:styleId="Hyperlink">
    <w:name w:val="Hyperlink"/>
    <w:basedOn w:val="DefaultParagraphFont"/>
    <w:uiPriority w:val="99"/>
    <w:unhideWhenUsed/>
    <w:rsid w:val="00DE48C3"/>
    <w:rPr>
      <w:color w:val="467886" w:themeColor="hyperlink"/>
      <w:u w:val="single"/>
    </w:rPr>
  </w:style>
  <w:style w:type="character" w:styleId="UnresolvedMention">
    <w:name w:val="Unresolved Mention"/>
    <w:basedOn w:val="DefaultParagraphFont"/>
    <w:uiPriority w:val="99"/>
    <w:semiHidden/>
    <w:unhideWhenUsed/>
    <w:rsid w:val="00DE4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lymed.nlm.nih.gov/dailymed/drugInfo.cfm?setid=14d98490-4f8f-4d2f-a4e9-7a3d7a0199ba&amp;audience=consumer" TargetMode="External"/><Relationship Id="rId13" Type="http://schemas.openxmlformats.org/officeDocument/2006/relationships/hyperlink" Target="https://dailymed.nlm.nih.gov/dailymed/drugInfo.cfm?setid=14d98490-4f8f-4d2f-a4e9-7a3d7a0199ba&amp;audience=consumer" TargetMode="External"/><Relationship Id="rId18" Type="http://schemas.openxmlformats.org/officeDocument/2006/relationships/hyperlink" Target="https://dailymed.nlm.nih.gov/dailymed/drugInfo.cfm?setid=14d98490-4f8f-4d2f-a4e9-7a3d7a0199ba&amp;audience=consume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ailymed.nlm.nih.gov/dailymed/drugInfo.cfm?setid=14d98490-4f8f-4d2f-a4e9-7a3d7a0199ba&amp;audience=consumer" TargetMode="External"/><Relationship Id="rId7" Type="http://schemas.openxmlformats.org/officeDocument/2006/relationships/hyperlink" Target="https://dailymed.nlm.nih.gov/dailymed/drugInfo.cfm?setid=14d98490-4f8f-4d2f-a4e9-7a3d7a0199ba&amp;audience=consumer" TargetMode="External"/><Relationship Id="rId12" Type="http://schemas.openxmlformats.org/officeDocument/2006/relationships/hyperlink" Target="https://dailymed.nlm.nih.gov/dailymed/drugInfo.cfm?setid=14d98490-4f8f-4d2f-a4e9-7a3d7a0199ba&amp;audience=consumer" TargetMode="External"/><Relationship Id="rId17" Type="http://schemas.openxmlformats.org/officeDocument/2006/relationships/hyperlink" Target="https://dailymed.nlm.nih.gov/dailymed/drugInfo.cfm?setid=14d98490-4f8f-4d2f-a4e9-7a3d7a0199ba&amp;audience=consumer" TargetMode="External"/><Relationship Id="rId25" Type="http://schemas.openxmlformats.org/officeDocument/2006/relationships/hyperlink" Target="https://dailymed.nlm.nih.gov/dailymed/drugInfo.cfm?setid=14d98490-4f8f-4d2f-a4e9-7a3d7a0199ba&amp;audience=consumer" TargetMode="External"/><Relationship Id="rId2" Type="http://schemas.openxmlformats.org/officeDocument/2006/relationships/styles" Target="styles.xml"/><Relationship Id="rId16" Type="http://schemas.openxmlformats.org/officeDocument/2006/relationships/hyperlink" Target="https://dailymed.nlm.nih.gov/dailymed/drugInfo.cfm?setid=14d98490-4f8f-4d2f-a4e9-7a3d7a0199ba&amp;audience=consumer" TargetMode="External"/><Relationship Id="rId20" Type="http://schemas.openxmlformats.org/officeDocument/2006/relationships/hyperlink" Target="https://dailymed.nlm.nih.gov/dailymed/drugInfo.cfm?setid=14d98490-4f8f-4d2f-a4e9-7a3d7a0199ba&amp;audience=consumer" TargetMode="External"/><Relationship Id="rId1" Type="http://schemas.openxmlformats.org/officeDocument/2006/relationships/numbering" Target="numbering.xml"/><Relationship Id="rId6" Type="http://schemas.openxmlformats.org/officeDocument/2006/relationships/hyperlink" Target="https://dailymed.nlm.nih.gov/dailymed/drugInfo.cfm?setid=14d98490-4f8f-4d2f-a4e9-7a3d7a0199ba&amp;audience=consumer" TargetMode="External"/><Relationship Id="rId11" Type="http://schemas.openxmlformats.org/officeDocument/2006/relationships/hyperlink" Target="https://dailymed.nlm.nih.gov/dailymed/drugInfo.cfm?setid=14d98490-4f8f-4d2f-a4e9-7a3d7a0199ba&amp;audience=consumer" TargetMode="External"/><Relationship Id="rId24" Type="http://schemas.openxmlformats.org/officeDocument/2006/relationships/hyperlink" Target="https://dailymed.nlm.nih.gov/dailymed/drugInfo.cfm?setid=14d98490-4f8f-4d2f-a4e9-7a3d7a0199ba&amp;audience=consumer" TargetMode="External"/><Relationship Id="rId5" Type="http://schemas.openxmlformats.org/officeDocument/2006/relationships/hyperlink" Target="https://dailymed.nlm.nih.gov/dailymed/drugInfo.cfm?setid=14d98490-4f8f-4d2f-a4e9-7a3d7a0199ba&amp;audience=consumer" TargetMode="External"/><Relationship Id="rId15" Type="http://schemas.openxmlformats.org/officeDocument/2006/relationships/hyperlink" Target="https://dailymed.nlm.nih.gov/dailymed/drugInfo.cfm?setid=14d98490-4f8f-4d2f-a4e9-7a3d7a0199ba&amp;audience=consumer" TargetMode="External"/><Relationship Id="rId23" Type="http://schemas.openxmlformats.org/officeDocument/2006/relationships/hyperlink" Target="https://dailymed.nlm.nih.gov/dailymed/drugInfo.cfm?setid=14d98490-4f8f-4d2f-a4e9-7a3d7a0199ba&amp;audience=consumer" TargetMode="External"/><Relationship Id="rId10" Type="http://schemas.openxmlformats.org/officeDocument/2006/relationships/hyperlink" Target="https://dailymed.nlm.nih.gov/dailymed/drugInfo.cfm?setid=14d98490-4f8f-4d2f-a4e9-7a3d7a0199ba&amp;audience=consumer" TargetMode="External"/><Relationship Id="rId19" Type="http://schemas.openxmlformats.org/officeDocument/2006/relationships/hyperlink" Target="https://dailymed.nlm.nih.gov/dailymed/drugInfo.cfm?setid=14d98490-4f8f-4d2f-a4e9-7a3d7a0199ba&amp;audience=consumer" TargetMode="External"/><Relationship Id="rId4" Type="http://schemas.openxmlformats.org/officeDocument/2006/relationships/webSettings" Target="webSettings.xml"/><Relationship Id="rId9" Type="http://schemas.openxmlformats.org/officeDocument/2006/relationships/hyperlink" Target="https://dailymed.nlm.nih.gov/dailymed/drugInfo.cfm?setid=14d98490-4f8f-4d2f-a4e9-7a3d7a0199ba&amp;audience=consumer" TargetMode="External"/><Relationship Id="rId14" Type="http://schemas.openxmlformats.org/officeDocument/2006/relationships/hyperlink" Target="https://dailymed.nlm.nih.gov/dailymed/drugInfo.cfm?setid=14d98490-4f8f-4d2f-a4e9-7a3d7a0199ba&amp;audience=consumer" TargetMode="External"/><Relationship Id="rId22" Type="http://schemas.openxmlformats.org/officeDocument/2006/relationships/hyperlink" Target="https://dailymed.nlm.nih.gov/dailymed/drugInfo.cfm?setid=14d98490-4f8f-4d2f-a4e9-7a3d7a0199ba&amp;audience=consum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2132</Words>
  <Characters>12796</Characters>
  <Application>Microsoft Office Word</Application>
  <DocSecurity>0</DocSecurity>
  <Lines>214</Lines>
  <Paragraphs>71</Paragraphs>
  <ScaleCrop>false</ScaleCrop>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Vivekanand Polavarapu</dc:creator>
  <cp:keywords/>
  <dc:description/>
  <cp:lastModifiedBy>Vivekanand Polavarapu</cp:lastModifiedBy>
  <cp:revision>2</cp:revision>
  <dcterms:created xsi:type="dcterms:W3CDTF">2026-02-10T19:52:00Z</dcterms:created>
  <dcterms:modified xsi:type="dcterms:W3CDTF">2026-02-10T19:54:00Z</dcterms:modified>
</cp:coreProperties>
</file>